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FA" w:rsidRPr="003B1184" w:rsidRDefault="00467523" w:rsidP="000F31E3">
      <w:pPr>
        <w:keepNext/>
        <w:spacing w:line="400" w:lineRule="atLeast"/>
        <w:jc w:val="left"/>
        <w:rPr>
          <w:rFonts w:cs="Arial"/>
          <w:b/>
          <w:color w:val="000000" w:themeColor="text1"/>
          <w:sz w:val="36"/>
        </w:rPr>
      </w:pPr>
      <w:r w:rsidRPr="003B1184">
        <w:rPr>
          <w:rFonts w:cs="Arial"/>
          <w:b/>
          <w:color w:val="000000" w:themeColor="text1"/>
          <w:sz w:val="36"/>
        </w:rPr>
        <w:t>C-</w:t>
      </w:r>
      <w:proofErr w:type="spellStart"/>
      <w:r w:rsidRPr="003B1184">
        <w:rPr>
          <w:rFonts w:cs="Arial"/>
          <w:b/>
          <w:color w:val="000000" w:themeColor="text1"/>
          <w:sz w:val="36"/>
        </w:rPr>
        <w:t>Energy</w:t>
      </w:r>
      <w:proofErr w:type="spellEnd"/>
      <w:r w:rsidRPr="003B1184">
        <w:rPr>
          <w:rFonts w:cs="Arial"/>
          <w:b/>
          <w:color w:val="000000" w:themeColor="text1"/>
          <w:sz w:val="36"/>
        </w:rPr>
        <w:t xml:space="preserve"> </w:t>
      </w:r>
      <w:r w:rsidR="00E9549B">
        <w:rPr>
          <w:rFonts w:cs="Arial"/>
          <w:b/>
          <w:color w:val="000000" w:themeColor="text1"/>
          <w:sz w:val="36"/>
        </w:rPr>
        <w:t>získala 51,95 procent akcií Teplárny Tábor</w:t>
      </w:r>
    </w:p>
    <w:p w:rsidR="000F31E3" w:rsidRPr="003B1184" w:rsidRDefault="000F31E3" w:rsidP="000F31E3">
      <w:pPr>
        <w:spacing w:after="120" w:line="240" w:lineRule="auto"/>
        <w:jc w:val="left"/>
        <w:rPr>
          <w:rFonts w:cs="Arial"/>
          <w:i/>
          <w:color w:val="000000"/>
          <w:sz w:val="24"/>
        </w:rPr>
      </w:pPr>
    </w:p>
    <w:p w:rsidR="00AF5B0C" w:rsidRPr="003B1184" w:rsidRDefault="00AF5B0C" w:rsidP="000F31E3">
      <w:pPr>
        <w:spacing w:after="120" w:line="240" w:lineRule="auto"/>
        <w:jc w:val="left"/>
        <w:rPr>
          <w:rFonts w:cs="Arial"/>
          <w:i/>
          <w:color w:val="000000"/>
          <w:sz w:val="24"/>
        </w:rPr>
      </w:pPr>
      <w:r w:rsidRPr="003B1184">
        <w:rPr>
          <w:rFonts w:cs="Arial"/>
          <w:i/>
          <w:color w:val="000000"/>
          <w:sz w:val="24"/>
        </w:rPr>
        <w:t xml:space="preserve">Planá nad Lužnicí, </w:t>
      </w:r>
      <w:r w:rsidR="009F13C1">
        <w:rPr>
          <w:rFonts w:cs="Arial"/>
          <w:i/>
          <w:color w:val="000000"/>
          <w:sz w:val="24"/>
        </w:rPr>
        <w:t>29</w:t>
      </w:r>
      <w:r w:rsidR="00467523" w:rsidRPr="003B1184">
        <w:rPr>
          <w:rFonts w:cs="Arial"/>
          <w:i/>
          <w:color w:val="000000"/>
          <w:sz w:val="24"/>
        </w:rPr>
        <w:t xml:space="preserve">. </w:t>
      </w:r>
      <w:r w:rsidR="00E9549B">
        <w:rPr>
          <w:rFonts w:cs="Arial"/>
          <w:i/>
          <w:color w:val="000000"/>
          <w:sz w:val="24"/>
        </w:rPr>
        <w:t>dubna 2020</w:t>
      </w:r>
    </w:p>
    <w:p w:rsidR="00942E74" w:rsidRPr="003B1184" w:rsidRDefault="00942E74" w:rsidP="00942E74">
      <w:pPr>
        <w:spacing w:line="240" w:lineRule="auto"/>
        <w:jc w:val="left"/>
        <w:rPr>
          <w:rFonts w:ascii="Helvetica 45 Light" w:hAnsi="Helvetica 45 Light" w:cs="Helvetica 45 Light"/>
          <w:color w:val="000000"/>
          <w:sz w:val="24"/>
        </w:rPr>
      </w:pPr>
    </w:p>
    <w:p w:rsidR="00E9549B" w:rsidRDefault="00E9549B" w:rsidP="00766F4F">
      <w:pPr>
        <w:spacing w:line="264" w:lineRule="auto"/>
        <w:jc w:val="left"/>
        <w:rPr>
          <w:rFonts w:cs="Arial"/>
          <w:b/>
          <w:color w:val="000000"/>
          <w:sz w:val="23"/>
          <w:szCs w:val="23"/>
        </w:rPr>
      </w:pPr>
      <w:r>
        <w:rPr>
          <w:rFonts w:cs="Arial"/>
          <w:b/>
          <w:color w:val="000000"/>
          <w:sz w:val="23"/>
          <w:szCs w:val="23"/>
        </w:rPr>
        <w:t>Společnost C-</w:t>
      </w:r>
      <w:proofErr w:type="spellStart"/>
      <w:r>
        <w:rPr>
          <w:rFonts w:cs="Arial"/>
          <w:b/>
          <w:color w:val="000000"/>
          <w:sz w:val="23"/>
          <w:szCs w:val="23"/>
        </w:rPr>
        <w:t>Energy</w:t>
      </w:r>
      <w:proofErr w:type="spellEnd"/>
      <w:r>
        <w:rPr>
          <w:rFonts w:cs="Arial"/>
          <w:b/>
          <w:color w:val="000000"/>
          <w:sz w:val="23"/>
          <w:szCs w:val="23"/>
        </w:rPr>
        <w:t xml:space="preserve"> Planá</w:t>
      </w:r>
      <w:r w:rsidR="000748E5">
        <w:rPr>
          <w:rFonts w:cs="Arial"/>
          <w:b/>
          <w:color w:val="000000"/>
          <w:sz w:val="23"/>
          <w:szCs w:val="23"/>
        </w:rPr>
        <w:t xml:space="preserve"> </w:t>
      </w:r>
      <w:r w:rsidR="005558FA">
        <w:rPr>
          <w:rFonts w:cs="Arial"/>
          <w:b/>
          <w:color w:val="000000"/>
          <w:sz w:val="23"/>
          <w:szCs w:val="23"/>
        </w:rPr>
        <w:t xml:space="preserve">získala </w:t>
      </w:r>
      <w:r w:rsidR="006611CB">
        <w:rPr>
          <w:rFonts w:cs="Arial"/>
          <w:b/>
          <w:color w:val="000000"/>
          <w:sz w:val="23"/>
          <w:szCs w:val="23"/>
        </w:rPr>
        <w:t xml:space="preserve">od společnosti </w:t>
      </w:r>
      <w:proofErr w:type="spellStart"/>
      <w:r w:rsidR="006611CB" w:rsidRPr="006611CB">
        <w:rPr>
          <w:b/>
          <w:color w:val="000000"/>
          <w:sz w:val="23"/>
          <w:szCs w:val="23"/>
        </w:rPr>
        <w:t>Uniper</w:t>
      </w:r>
      <w:proofErr w:type="spellEnd"/>
      <w:r w:rsidR="006611CB" w:rsidRPr="006611CB">
        <w:rPr>
          <w:rFonts w:cs="Arial"/>
          <w:b/>
          <w:color w:val="000000"/>
          <w:sz w:val="23"/>
          <w:szCs w:val="23"/>
        </w:rPr>
        <w:t> </w:t>
      </w:r>
      <w:proofErr w:type="spellStart"/>
      <w:r w:rsidR="006611CB" w:rsidRPr="006611CB">
        <w:rPr>
          <w:rFonts w:cs="Arial"/>
          <w:b/>
          <w:color w:val="000000"/>
          <w:sz w:val="23"/>
          <w:szCs w:val="23"/>
        </w:rPr>
        <w:t>Kraftwerke</w:t>
      </w:r>
      <w:proofErr w:type="spellEnd"/>
      <w:r w:rsidR="006611CB" w:rsidRPr="006611CB">
        <w:rPr>
          <w:rFonts w:cs="Arial"/>
          <w:b/>
          <w:color w:val="000000"/>
          <w:sz w:val="23"/>
          <w:szCs w:val="23"/>
        </w:rPr>
        <w:t xml:space="preserve"> </w:t>
      </w:r>
      <w:r>
        <w:rPr>
          <w:rFonts w:cs="Arial"/>
          <w:b/>
          <w:color w:val="000000"/>
          <w:sz w:val="23"/>
          <w:szCs w:val="23"/>
        </w:rPr>
        <w:t>51,95 procenta akcií Teplárny Tábor. Akvizi</w:t>
      </w:r>
      <w:bookmarkStart w:id="0" w:name="_GoBack"/>
      <w:bookmarkEnd w:id="0"/>
      <w:r>
        <w:rPr>
          <w:rFonts w:cs="Arial"/>
          <w:b/>
          <w:color w:val="000000"/>
          <w:sz w:val="23"/>
          <w:szCs w:val="23"/>
        </w:rPr>
        <w:t xml:space="preserve">ce přinese </w:t>
      </w:r>
      <w:r w:rsidR="00F0495A">
        <w:rPr>
          <w:rFonts w:cs="Arial"/>
          <w:b/>
          <w:color w:val="000000"/>
          <w:sz w:val="23"/>
          <w:szCs w:val="23"/>
        </w:rPr>
        <w:t xml:space="preserve">důležitou </w:t>
      </w:r>
      <w:r>
        <w:rPr>
          <w:rFonts w:cs="Arial"/>
          <w:b/>
          <w:color w:val="000000"/>
          <w:sz w:val="23"/>
          <w:szCs w:val="23"/>
        </w:rPr>
        <w:t>stabilizaci v oblasti dodávek tepla a energií v aglomeraci Tábor – Sezimovo Ústí – Planá nad Lužnicí. Sjednoc</w:t>
      </w:r>
      <w:r w:rsidR="00B2582C">
        <w:rPr>
          <w:rFonts w:cs="Arial"/>
          <w:b/>
          <w:color w:val="000000"/>
          <w:sz w:val="23"/>
          <w:szCs w:val="23"/>
        </w:rPr>
        <w:t>ení centrálního zásobování teplem</w:t>
      </w:r>
      <w:r>
        <w:rPr>
          <w:rFonts w:cs="Arial"/>
          <w:b/>
          <w:color w:val="000000"/>
          <w:sz w:val="23"/>
          <w:szCs w:val="23"/>
        </w:rPr>
        <w:t xml:space="preserve"> s odběrem téměř 900 </w:t>
      </w:r>
      <w:r w:rsidR="00E27E00">
        <w:rPr>
          <w:rFonts w:cs="Arial"/>
          <w:b/>
          <w:color w:val="000000"/>
          <w:sz w:val="23"/>
          <w:szCs w:val="23"/>
        </w:rPr>
        <w:t xml:space="preserve">tisíc </w:t>
      </w:r>
      <w:r>
        <w:rPr>
          <w:rFonts w:cs="Arial"/>
          <w:b/>
          <w:color w:val="000000"/>
          <w:sz w:val="23"/>
          <w:szCs w:val="23"/>
        </w:rPr>
        <w:t xml:space="preserve">GJ </w:t>
      </w:r>
      <w:r w:rsidR="00651E5C">
        <w:rPr>
          <w:rFonts w:cs="Arial"/>
          <w:b/>
          <w:color w:val="000000"/>
          <w:sz w:val="23"/>
          <w:szCs w:val="23"/>
        </w:rPr>
        <w:t xml:space="preserve">ročně </w:t>
      </w:r>
      <w:r>
        <w:rPr>
          <w:rFonts w:cs="Arial"/>
          <w:b/>
          <w:color w:val="000000"/>
          <w:sz w:val="23"/>
          <w:szCs w:val="23"/>
        </w:rPr>
        <w:t xml:space="preserve">znamená také významný ekologický přínos do budoucnosti. </w:t>
      </w:r>
    </w:p>
    <w:p w:rsidR="00E9549B" w:rsidRDefault="00E9549B" w:rsidP="00766F4F">
      <w:pPr>
        <w:spacing w:line="264" w:lineRule="auto"/>
        <w:jc w:val="left"/>
        <w:rPr>
          <w:rFonts w:cs="Arial"/>
          <w:b/>
          <w:color w:val="000000"/>
          <w:sz w:val="23"/>
          <w:szCs w:val="23"/>
        </w:rPr>
      </w:pPr>
    </w:p>
    <w:p w:rsidR="00E9549B" w:rsidRDefault="00F0495A" w:rsidP="00766F4F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Majetkové propojení obou energetických zdrojů v aglomeraci a sjednocení sítě centrálního zásobování tepl</w:t>
      </w:r>
      <w:r w:rsidR="002E46CB">
        <w:rPr>
          <w:rFonts w:cs="Arial"/>
          <w:color w:val="000000"/>
          <w:sz w:val="23"/>
          <w:szCs w:val="23"/>
        </w:rPr>
        <w:t xml:space="preserve">em přinese celou řadu synergií. Klíčovým přínosem pro odběratele energií i občany by mělo být snížení cen tepla a pokles zátěže životního prostředí při jeho výrobě. </w:t>
      </w:r>
    </w:p>
    <w:p w:rsidR="002E46CB" w:rsidRDefault="002E46CB" w:rsidP="00766F4F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</w:p>
    <w:p w:rsidR="002E46CB" w:rsidRDefault="002E46CB" w:rsidP="00766F4F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  <w:r w:rsidRPr="002E46CB">
        <w:rPr>
          <w:rFonts w:cs="Arial"/>
          <w:i/>
          <w:color w:val="000000"/>
          <w:sz w:val="23"/>
          <w:szCs w:val="23"/>
        </w:rPr>
        <w:t>„V Plané nad Lužnicí investovala C-</w:t>
      </w:r>
      <w:proofErr w:type="spellStart"/>
      <w:r w:rsidRPr="002E46CB">
        <w:rPr>
          <w:rFonts w:cs="Arial"/>
          <w:i/>
          <w:color w:val="000000"/>
          <w:sz w:val="23"/>
          <w:szCs w:val="23"/>
        </w:rPr>
        <w:t>Energy</w:t>
      </w:r>
      <w:proofErr w:type="spellEnd"/>
      <w:r w:rsidRPr="002E46CB">
        <w:rPr>
          <w:rFonts w:cs="Arial"/>
          <w:i/>
          <w:color w:val="000000"/>
          <w:sz w:val="23"/>
          <w:szCs w:val="23"/>
        </w:rPr>
        <w:t xml:space="preserve"> od roku 2012 d</w:t>
      </w:r>
      <w:r>
        <w:rPr>
          <w:rFonts w:cs="Arial"/>
          <w:i/>
          <w:color w:val="000000"/>
          <w:sz w:val="23"/>
          <w:szCs w:val="23"/>
        </w:rPr>
        <w:t>o modernizace zdroje více než 2 </w:t>
      </w:r>
      <w:r w:rsidRPr="002E46CB">
        <w:rPr>
          <w:rFonts w:cs="Arial"/>
          <w:i/>
          <w:color w:val="000000"/>
          <w:sz w:val="23"/>
          <w:szCs w:val="23"/>
        </w:rPr>
        <w:t>miliardy korun. Výsledkem je kromě jiného snížení emisí produkovaných zdrojem o 90 procent oproti původnímu stavu. Ambiciózní plány máme také v nedalekém Táboře,“</w:t>
      </w:r>
      <w:r>
        <w:rPr>
          <w:rFonts w:cs="Arial"/>
          <w:color w:val="000000"/>
          <w:sz w:val="23"/>
          <w:szCs w:val="23"/>
        </w:rPr>
        <w:t xml:space="preserve"> uvedl Ivo Nejdl, jednatel C-</w:t>
      </w:r>
      <w:proofErr w:type="spellStart"/>
      <w:r>
        <w:rPr>
          <w:rFonts w:cs="Arial"/>
          <w:color w:val="000000"/>
          <w:sz w:val="23"/>
          <w:szCs w:val="23"/>
        </w:rPr>
        <w:t>Energy</w:t>
      </w:r>
      <w:proofErr w:type="spellEnd"/>
      <w:r>
        <w:rPr>
          <w:rFonts w:cs="Arial"/>
          <w:color w:val="000000"/>
          <w:sz w:val="23"/>
          <w:szCs w:val="23"/>
        </w:rPr>
        <w:t xml:space="preserve"> Planá.</w:t>
      </w:r>
    </w:p>
    <w:p w:rsidR="002E46CB" w:rsidRDefault="002E46CB" w:rsidP="00766F4F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</w:p>
    <w:p w:rsidR="002E46CB" w:rsidRPr="00F0495A" w:rsidRDefault="002E46CB" w:rsidP="00766F4F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Se svými záměry již seznámila C-</w:t>
      </w:r>
      <w:proofErr w:type="spellStart"/>
      <w:r>
        <w:rPr>
          <w:rFonts w:cs="Arial"/>
          <w:color w:val="000000"/>
          <w:sz w:val="23"/>
          <w:szCs w:val="23"/>
        </w:rPr>
        <w:t>Energy</w:t>
      </w:r>
      <w:proofErr w:type="spellEnd"/>
      <w:r>
        <w:rPr>
          <w:rFonts w:cs="Arial"/>
          <w:color w:val="000000"/>
          <w:sz w:val="23"/>
          <w:szCs w:val="23"/>
        </w:rPr>
        <w:t xml:space="preserve"> zástupce </w:t>
      </w:r>
      <w:r w:rsidR="00651E5C">
        <w:rPr>
          <w:rFonts w:cs="Arial"/>
          <w:color w:val="000000"/>
          <w:sz w:val="23"/>
          <w:szCs w:val="23"/>
        </w:rPr>
        <w:t>společnosti BYTES Tábor, která</w:t>
      </w:r>
      <w:r w:rsidR="0053539E">
        <w:rPr>
          <w:rFonts w:cs="Arial"/>
          <w:color w:val="000000"/>
          <w:sz w:val="23"/>
          <w:szCs w:val="23"/>
        </w:rPr>
        <w:t xml:space="preserve"> vlastní zbylý podíl akcií Teplárny Tábor. V období následujících dvou let dojde podle těchto záměrů ke kompletní konverzi parních rozvodů v Táboře na horkovodní. Investice za více než 200 milionů korun přinese zásadní snížení energetických ztrát a vytvoří prostor pro snížení cen pro odběratele centrálního tepla.</w:t>
      </w:r>
    </w:p>
    <w:p w:rsidR="00E9549B" w:rsidRDefault="00E9549B" w:rsidP="00766F4F">
      <w:pPr>
        <w:spacing w:line="264" w:lineRule="auto"/>
        <w:jc w:val="left"/>
        <w:rPr>
          <w:rFonts w:cs="Arial"/>
          <w:b/>
          <w:color w:val="000000"/>
          <w:sz w:val="23"/>
          <w:szCs w:val="23"/>
        </w:rPr>
      </w:pPr>
    </w:p>
    <w:p w:rsidR="00FE3C21" w:rsidRDefault="0053539E" w:rsidP="00766F4F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  <w:r w:rsidRPr="0053539E">
        <w:rPr>
          <w:rFonts w:cs="Arial"/>
          <w:i/>
          <w:color w:val="000000"/>
          <w:sz w:val="23"/>
          <w:szCs w:val="23"/>
        </w:rPr>
        <w:t>„Významná investice nebude znamenat navýšení ceny za odebírané teplo. Naopak předpokládáme spíše snížení cen vzhledem k tomu, že na odběrová místa společnosti BYTES na Sídlišti nad Lužnicí a Kopečku budeme z Plané již letos dodávat teplo za 405 korun za GJ</w:t>
      </w:r>
      <w:r w:rsidR="005558FA">
        <w:rPr>
          <w:rFonts w:cs="Arial"/>
          <w:i/>
          <w:color w:val="000000"/>
          <w:sz w:val="23"/>
          <w:szCs w:val="23"/>
        </w:rPr>
        <w:t>.</w:t>
      </w:r>
      <w:r w:rsidR="00651E5C">
        <w:rPr>
          <w:rFonts w:cs="Arial"/>
          <w:i/>
          <w:color w:val="000000"/>
          <w:sz w:val="23"/>
          <w:szCs w:val="23"/>
        </w:rPr>
        <w:t xml:space="preserve"> Tyto i</w:t>
      </w:r>
      <w:r w:rsidR="00264073">
        <w:rPr>
          <w:rFonts w:cs="Arial"/>
          <w:i/>
          <w:color w:val="000000"/>
          <w:sz w:val="23"/>
          <w:szCs w:val="23"/>
        </w:rPr>
        <w:t xml:space="preserve">nvestice by měly umožnit postupné snižování velkoobchodní ceny za odebírané teplo pro společnost BYTES Tábor i v dalších odběrných místech a vytvoření prostoru pro snižování ceny placené koncovými zákazníky </w:t>
      </w:r>
      <w:proofErr w:type="spellStart"/>
      <w:r w:rsidR="00264073">
        <w:rPr>
          <w:rFonts w:cs="Arial"/>
          <w:i/>
          <w:color w:val="000000"/>
          <w:sz w:val="23"/>
          <w:szCs w:val="23"/>
        </w:rPr>
        <w:t>BYTESu</w:t>
      </w:r>
      <w:proofErr w:type="spellEnd"/>
      <w:r w:rsidRPr="0053539E">
        <w:rPr>
          <w:rFonts w:cs="Arial"/>
          <w:i/>
          <w:color w:val="000000"/>
          <w:sz w:val="23"/>
          <w:szCs w:val="23"/>
        </w:rPr>
        <w:t>,“</w:t>
      </w:r>
      <w:r w:rsidRPr="0053539E">
        <w:rPr>
          <w:rFonts w:cs="Arial"/>
          <w:color w:val="000000"/>
          <w:sz w:val="23"/>
          <w:szCs w:val="23"/>
        </w:rPr>
        <w:t xml:space="preserve"> upřesnil Ivo Nejdl. </w:t>
      </w:r>
    </w:p>
    <w:p w:rsidR="0053539E" w:rsidRPr="0053539E" w:rsidRDefault="0053539E" w:rsidP="00766F4F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</w:p>
    <w:p w:rsidR="00E9549B" w:rsidRPr="00C62E1D" w:rsidRDefault="00E9549B" w:rsidP="00766F4F">
      <w:pPr>
        <w:spacing w:line="264" w:lineRule="auto"/>
        <w:jc w:val="left"/>
        <w:rPr>
          <w:rFonts w:cs="Arial"/>
          <w:color w:val="000000"/>
          <w:sz w:val="23"/>
          <w:szCs w:val="23"/>
        </w:rPr>
      </w:pPr>
    </w:p>
    <w:p w:rsidR="005558FA" w:rsidRDefault="005558FA" w:rsidP="00AA7D32">
      <w:pPr>
        <w:spacing w:line="240" w:lineRule="auto"/>
        <w:jc w:val="left"/>
        <w:rPr>
          <w:b/>
          <w:sz w:val="18"/>
          <w:szCs w:val="18"/>
        </w:rPr>
      </w:pPr>
    </w:p>
    <w:p w:rsidR="005558FA" w:rsidRDefault="005558FA" w:rsidP="00AA7D32">
      <w:pPr>
        <w:spacing w:line="240" w:lineRule="auto"/>
        <w:jc w:val="left"/>
        <w:rPr>
          <w:b/>
          <w:sz w:val="18"/>
          <w:szCs w:val="18"/>
        </w:rPr>
      </w:pPr>
    </w:p>
    <w:p w:rsidR="00AA7D32" w:rsidRPr="007901ED" w:rsidRDefault="00AA7D32" w:rsidP="00AA7D32">
      <w:pPr>
        <w:spacing w:line="240" w:lineRule="auto"/>
        <w:jc w:val="left"/>
        <w:rPr>
          <w:b/>
          <w:sz w:val="18"/>
          <w:szCs w:val="18"/>
        </w:rPr>
      </w:pPr>
      <w:r w:rsidRPr="007901ED">
        <w:rPr>
          <w:b/>
          <w:sz w:val="18"/>
          <w:szCs w:val="18"/>
        </w:rPr>
        <w:t>O energetickém zdroji C-</w:t>
      </w:r>
      <w:proofErr w:type="spellStart"/>
      <w:r w:rsidRPr="007901ED">
        <w:rPr>
          <w:b/>
          <w:sz w:val="18"/>
          <w:szCs w:val="18"/>
        </w:rPr>
        <w:t>Energy</w:t>
      </w:r>
      <w:proofErr w:type="spellEnd"/>
      <w:r w:rsidRPr="007901ED">
        <w:rPr>
          <w:b/>
          <w:sz w:val="18"/>
          <w:szCs w:val="18"/>
        </w:rPr>
        <w:t xml:space="preserve"> Planá</w:t>
      </w:r>
    </w:p>
    <w:p w:rsidR="00AA7D32" w:rsidRPr="00AA7D32" w:rsidRDefault="00AA7D32" w:rsidP="00AA7D32">
      <w:pPr>
        <w:spacing w:line="240" w:lineRule="auto"/>
        <w:jc w:val="left"/>
        <w:rPr>
          <w:b/>
          <w:sz w:val="10"/>
          <w:szCs w:val="10"/>
        </w:rPr>
      </w:pPr>
    </w:p>
    <w:p w:rsidR="00E9549B" w:rsidRPr="00E9549B" w:rsidRDefault="00E9549B" w:rsidP="00E9549B">
      <w:pPr>
        <w:rPr>
          <w:rStyle w:val="s1"/>
          <w:rFonts w:ascii="Arial" w:eastAsiaTheme="minorHAnsi" w:hAnsi="Arial" w:cs="Arial"/>
          <w:color w:val="454545"/>
          <w:sz w:val="18"/>
          <w:szCs w:val="18"/>
        </w:rPr>
      </w:pPr>
      <w:r w:rsidRPr="00E9549B">
        <w:rPr>
          <w:rStyle w:val="s1"/>
          <w:rFonts w:ascii="Arial" w:eastAsiaTheme="minorHAnsi" w:hAnsi="Arial"/>
          <w:color w:val="454545"/>
          <w:sz w:val="18"/>
          <w:szCs w:val="18"/>
        </w:rPr>
        <w:t>Skupina C-</w:t>
      </w:r>
      <w:proofErr w:type="spellStart"/>
      <w:r w:rsidRPr="00E9549B">
        <w:rPr>
          <w:rStyle w:val="s1"/>
          <w:rFonts w:ascii="Arial" w:eastAsiaTheme="minorHAnsi" w:hAnsi="Arial"/>
          <w:color w:val="454545"/>
          <w:sz w:val="18"/>
          <w:szCs w:val="18"/>
        </w:rPr>
        <w:t>Energy</w:t>
      </w:r>
      <w:proofErr w:type="spellEnd"/>
      <w:r w:rsidRPr="00E9549B">
        <w:rPr>
          <w:rStyle w:val="s1"/>
          <w:rFonts w:ascii="Arial" w:eastAsiaTheme="minorHAnsi" w:hAnsi="Arial"/>
          <w:color w:val="454545"/>
          <w:sz w:val="18"/>
          <w:szCs w:val="18"/>
        </w:rPr>
        <w:t xml:space="preserve"> investovala do modernizace energetického zdroje v Plané nad Lužnicí od roku 2012 více než 2 miliardy korun. Dnes patří k nejmodernějším závodům pro výrobu energií v regionu střední a východní Evropy. </w:t>
      </w:r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 xml:space="preserve">Energii zde vyrábí dva nové uhelné kotle s odsířením, každý o parním výkonu 40t/h, parní turbína o instalované kapacitě 26 MW, plynový kotel 15t/h a šest plynových motorgenerátorů </w:t>
      </w:r>
      <w:proofErr w:type="spellStart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>Rolls</w:t>
      </w:r>
      <w:proofErr w:type="spellEnd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 xml:space="preserve"> </w:t>
      </w:r>
      <w:proofErr w:type="spellStart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>Royce</w:t>
      </w:r>
      <w:proofErr w:type="spellEnd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 xml:space="preserve"> o celkovém výkonu 60 MW se spalinovými kotli. </w:t>
      </w:r>
    </w:p>
    <w:p w:rsidR="00E9549B" w:rsidRPr="00E9549B" w:rsidRDefault="00E9549B" w:rsidP="00E9549B">
      <w:pPr>
        <w:rPr>
          <w:rStyle w:val="s1"/>
          <w:rFonts w:ascii="Arial" w:eastAsiaTheme="minorHAnsi" w:hAnsi="Arial" w:cs="Arial"/>
          <w:color w:val="454545"/>
          <w:sz w:val="18"/>
          <w:szCs w:val="18"/>
        </w:rPr>
      </w:pPr>
    </w:p>
    <w:p w:rsidR="00AA7D32" w:rsidRPr="00E9549B" w:rsidRDefault="00E9549B" w:rsidP="00E9549B">
      <w:pPr>
        <w:rPr>
          <w:rStyle w:val="s1"/>
          <w:rFonts w:ascii="Arial" w:eastAsiaTheme="minorHAnsi" w:hAnsi="Arial"/>
          <w:color w:val="454545"/>
          <w:sz w:val="18"/>
          <w:szCs w:val="18"/>
        </w:rPr>
      </w:pPr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lastRenderedPageBreak/>
        <w:t>Zdroj C-</w:t>
      </w:r>
      <w:proofErr w:type="spellStart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>Energy</w:t>
      </w:r>
      <w:proofErr w:type="spellEnd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 xml:space="preserve"> Planá je jedním z mála v ČR, který umí s nově instalovaným bateriovým úložišt</w:t>
      </w:r>
      <w:r>
        <w:rPr>
          <w:rStyle w:val="s1"/>
          <w:rFonts w:ascii="Arial" w:eastAsiaTheme="minorHAnsi" w:hAnsi="Arial" w:cs="Arial"/>
          <w:color w:val="454545"/>
          <w:sz w:val="18"/>
          <w:szCs w:val="18"/>
        </w:rPr>
        <w:t>ěm o výkonu 4 MW a kapacitě 2,5 </w:t>
      </w:r>
      <w:proofErr w:type="spellStart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>MWh</w:t>
      </w:r>
      <w:proofErr w:type="spellEnd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 xml:space="preserve"> nastartovat provoz v případě tzv. </w:t>
      </w:r>
      <w:proofErr w:type="spellStart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>black-outu</w:t>
      </w:r>
      <w:proofErr w:type="spellEnd"/>
      <w:r w:rsidRPr="00E9549B">
        <w:rPr>
          <w:rStyle w:val="s1"/>
          <w:rFonts w:ascii="Arial" w:eastAsiaTheme="minorHAnsi" w:hAnsi="Arial" w:cs="Arial"/>
          <w:color w:val="454545"/>
          <w:sz w:val="18"/>
          <w:szCs w:val="18"/>
        </w:rPr>
        <w:t xml:space="preserve">, tedy kompletního výpadku elektrické sítě. </w:t>
      </w:r>
      <w:r w:rsidRPr="00E9549B">
        <w:rPr>
          <w:rStyle w:val="s1"/>
          <w:rFonts w:ascii="Arial" w:hAnsi="Arial" w:cs="Arial"/>
          <w:sz w:val="18"/>
          <w:szCs w:val="18"/>
        </w:rPr>
        <w:t>Celková instalovaná kapacita energetického zdroje C-</w:t>
      </w:r>
      <w:proofErr w:type="spellStart"/>
      <w:r w:rsidRPr="00E9549B">
        <w:rPr>
          <w:rStyle w:val="s1"/>
          <w:rFonts w:ascii="Arial" w:hAnsi="Arial" w:cs="Arial"/>
          <w:sz w:val="18"/>
          <w:szCs w:val="18"/>
        </w:rPr>
        <w:t>Energy</w:t>
      </w:r>
      <w:proofErr w:type="spellEnd"/>
      <w:r w:rsidRPr="00E9549B">
        <w:rPr>
          <w:rStyle w:val="s1"/>
          <w:rFonts w:ascii="Arial" w:hAnsi="Arial" w:cs="Arial"/>
          <w:sz w:val="18"/>
          <w:szCs w:val="18"/>
        </w:rPr>
        <w:t xml:space="preserve"> v Plané nad Lužnicí dosahuje 90 MWe.</w:t>
      </w:r>
      <w:r>
        <w:rPr>
          <w:rStyle w:val="s1"/>
          <w:rFonts w:ascii="Arial" w:hAnsi="Arial" w:cs="Arial"/>
          <w:sz w:val="18"/>
          <w:szCs w:val="18"/>
        </w:rPr>
        <w:t xml:space="preserve"> Více na </w:t>
      </w:r>
      <w:hyperlink r:id="rId7" w:history="1">
        <w:r w:rsidRPr="00864A47">
          <w:rPr>
            <w:rStyle w:val="Hypertextovodkaz"/>
            <w:rFonts w:cs="Arial"/>
            <w:sz w:val="18"/>
            <w:szCs w:val="18"/>
          </w:rPr>
          <w:t>www.c-energy.cz</w:t>
        </w:r>
      </w:hyperlink>
      <w:r>
        <w:rPr>
          <w:rStyle w:val="s1"/>
          <w:rFonts w:ascii="Arial" w:hAnsi="Arial" w:cs="Arial"/>
          <w:sz w:val="18"/>
          <w:szCs w:val="18"/>
        </w:rPr>
        <w:t xml:space="preserve">. </w:t>
      </w:r>
    </w:p>
    <w:p w:rsidR="00AA7D32" w:rsidRDefault="00AA7D32" w:rsidP="00AA7D32">
      <w:pPr>
        <w:pStyle w:val="p1"/>
        <w:rPr>
          <w:rStyle w:val="s1"/>
          <w:rFonts w:ascii="Arial" w:hAnsi="Arial" w:cs="Arial"/>
          <w:sz w:val="18"/>
          <w:szCs w:val="18"/>
        </w:rPr>
      </w:pPr>
    </w:p>
    <w:p w:rsidR="00E9549B" w:rsidRPr="007901ED" w:rsidRDefault="00E9549B" w:rsidP="00AA7D32">
      <w:pPr>
        <w:pStyle w:val="p1"/>
        <w:rPr>
          <w:rStyle w:val="s1"/>
          <w:rFonts w:ascii="Arial" w:hAnsi="Arial" w:cs="Arial"/>
          <w:sz w:val="18"/>
          <w:szCs w:val="18"/>
        </w:rPr>
      </w:pPr>
    </w:p>
    <w:p w:rsidR="00AA7D32" w:rsidRPr="003B1184" w:rsidRDefault="00AA7D32" w:rsidP="00AA7D32">
      <w:pPr>
        <w:pStyle w:val="p1"/>
        <w:rPr>
          <w:rFonts w:ascii="Arial" w:hAnsi="Arial" w:cs="Arial"/>
          <w:sz w:val="18"/>
          <w:szCs w:val="18"/>
        </w:rPr>
      </w:pPr>
      <w:r w:rsidRPr="003B1184">
        <w:rPr>
          <w:rStyle w:val="s1"/>
          <w:rFonts w:ascii="Arial" w:hAnsi="Arial" w:cs="Arial"/>
          <w:sz w:val="18"/>
          <w:szCs w:val="18"/>
        </w:rPr>
        <w:t>V případě zájmu o další informace kontaktujte:</w:t>
      </w:r>
    </w:p>
    <w:p w:rsidR="00AA7D32" w:rsidRPr="003B1184" w:rsidRDefault="00AA7D32" w:rsidP="00AA7D32">
      <w:pPr>
        <w:pStyle w:val="p2"/>
        <w:rPr>
          <w:rFonts w:ascii="Arial" w:hAnsi="Arial" w:cs="Arial"/>
          <w:sz w:val="18"/>
          <w:szCs w:val="18"/>
        </w:rPr>
      </w:pPr>
    </w:p>
    <w:p w:rsidR="00AA7D32" w:rsidRPr="003B1184" w:rsidRDefault="00AA7D32" w:rsidP="00AA7D32">
      <w:pPr>
        <w:pStyle w:val="p1"/>
        <w:rPr>
          <w:rFonts w:ascii="Arial" w:hAnsi="Arial" w:cs="Arial"/>
          <w:b/>
          <w:sz w:val="18"/>
          <w:szCs w:val="18"/>
        </w:rPr>
      </w:pPr>
      <w:r w:rsidRPr="003B1184">
        <w:rPr>
          <w:rStyle w:val="s1"/>
          <w:rFonts w:ascii="Arial" w:hAnsi="Arial" w:cs="Arial"/>
          <w:b/>
          <w:sz w:val="18"/>
          <w:szCs w:val="18"/>
        </w:rPr>
        <w:t>Miroslav Beneš</w:t>
      </w:r>
    </w:p>
    <w:p w:rsidR="00AA7D32" w:rsidRPr="003B1184" w:rsidRDefault="00AA7D32" w:rsidP="00AA7D32">
      <w:pPr>
        <w:pStyle w:val="p1"/>
        <w:rPr>
          <w:rFonts w:ascii="Arial" w:hAnsi="Arial" w:cs="Arial"/>
          <w:sz w:val="18"/>
          <w:szCs w:val="18"/>
        </w:rPr>
      </w:pPr>
      <w:r w:rsidRPr="003B1184">
        <w:rPr>
          <w:rStyle w:val="s1"/>
          <w:rFonts w:ascii="Arial" w:hAnsi="Arial" w:cs="Arial"/>
          <w:sz w:val="18"/>
          <w:szCs w:val="18"/>
        </w:rPr>
        <w:t>Telefon: +420 603 174 347</w:t>
      </w:r>
    </w:p>
    <w:p w:rsidR="00CC2E57" w:rsidRPr="003B1184" w:rsidRDefault="00AA7D32" w:rsidP="00AA7D32">
      <w:pPr>
        <w:pStyle w:val="p1"/>
        <w:rPr>
          <w:rFonts w:cs="Arial"/>
          <w:sz w:val="18"/>
          <w:szCs w:val="18"/>
        </w:rPr>
      </w:pPr>
      <w:r w:rsidRPr="003B1184">
        <w:rPr>
          <w:rStyle w:val="s1"/>
          <w:rFonts w:ascii="Arial" w:hAnsi="Arial" w:cs="Arial"/>
          <w:sz w:val="18"/>
          <w:szCs w:val="18"/>
        </w:rPr>
        <w:t xml:space="preserve">E-mail: </w:t>
      </w:r>
      <w:hyperlink r:id="rId8" w:history="1">
        <w:r w:rsidRPr="003B1184">
          <w:rPr>
            <w:rStyle w:val="Hypertextovodkaz"/>
            <w:rFonts w:ascii="Arial" w:hAnsi="Arial" w:cs="Arial"/>
            <w:sz w:val="18"/>
            <w:szCs w:val="18"/>
          </w:rPr>
          <w:t>miroslav.benes@benesgroup.cz</w:t>
        </w:r>
      </w:hyperlink>
      <w:r w:rsidR="00EB6CC9" w:rsidRPr="003B1184">
        <w:rPr>
          <w:rFonts w:cs="Arial"/>
          <w:sz w:val="18"/>
          <w:szCs w:val="18"/>
        </w:rPr>
        <w:t xml:space="preserve"> </w:t>
      </w:r>
    </w:p>
    <w:sectPr w:rsidR="00CC2E57" w:rsidRPr="003B1184" w:rsidSect="00E954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/>
      <w:pgMar w:top="2694" w:right="991" w:bottom="1135" w:left="1134" w:header="130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5E" w:rsidRDefault="00F6155E">
      <w:pPr>
        <w:spacing w:line="240" w:lineRule="auto"/>
      </w:pPr>
      <w:r>
        <w:separator/>
      </w:r>
    </w:p>
  </w:endnote>
  <w:endnote w:type="continuationSeparator" w:id="0">
    <w:p w:rsidR="00F6155E" w:rsidRDefault="00F61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Arial"/>
    <w:charset w:val="00"/>
    <w:family w:val="swiss"/>
    <w:pitch w:val="variable"/>
    <w:sig w:usb0="00000001" w:usb1="5000785B" w:usb2="00000000" w:usb3="00000000" w:csb0="0000019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Helvetica 45 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5D5" w:rsidRDefault="00BC05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5D5" w:rsidRDefault="00BC05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5D5" w:rsidRDefault="00BC05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5E" w:rsidRDefault="00F6155E">
      <w:pPr>
        <w:spacing w:line="240" w:lineRule="auto"/>
      </w:pPr>
      <w:r>
        <w:separator/>
      </w:r>
    </w:p>
  </w:footnote>
  <w:footnote w:type="continuationSeparator" w:id="0">
    <w:p w:rsidR="00F6155E" w:rsidRDefault="00F615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5D5" w:rsidRDefault="00BC05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49B" w:rsidRDefault="00E9549B" w:rsidP="00E9549B">
    <w:pPr>
      <w:spacing w:line="240" w:lineRule="auto"/>
      <w:rPr>
        <w:b/>
        <w:color w:val="7F7F7F" w:themeColor="text1" w:themeTint="80"/>
        <w:spacing w:val="42"/>
        <w:sz w:val="32"/>
      </w:rPr>
    </w:pPr>
    <w:r w:rsidRPr="00C43D83">
      <w:rPr>
        <w:noProof/>
      </w:rPr>
      <w:drawing>
        <wp:inline distT="0" distB="0" distL="0" distR="0" wp14:anchorId="361DE0DC" wp14:editId="33481597">
          <wp:extent cx="1960419" cy="800775"/>
          <wp:effectExtent l="0" t="0" r="190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904" cy="803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467523">
      <w:rPr>
        <w:b/>
        <w:color w:val="7F7F7F" w:themeColor="text1" w:themeTint="80"/>
        <w:spacing w:val="42"/>
        <w:sz w:val="32"/>
      </w:rPr>
      <w:t>TISKOVÁ ZPRÁVA</w:t>
    </w:r>
  </w:p>
  <w:p w:rsidR="00E9549B" w:rsidRPr="00467523" w:rsidRDefault="00E9549B" w:rsidP="00E9549B">
    <w:pPr>
      <w:spacing w:line="240" w:lineRule="auto"/>
      <w:rPr>
        <w:b/>
        <w:color w:val="15187D"/>
        <w:spacing w:val="42"/>
        <w:sz w:val="32"/>
      </w:rPr>
    </w:pPr>
  </w:p>
  <w:p w:rsidR="00C43D83" w:rsidRPr="00E9549B" w:rsidRDefault="00C43D83" w:rsidP="00E954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5D5" w:rsidRDefault="00BC05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66D23"/>
    <w:multiLevelType w:val="hybridMultilevel"/>
    <w:tmpl w:val="C42E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22FB5"/>
    <w:multiLevelType w:val="multilevel"/>
    <w:tmpl w:val="81E0D81C"/>
    <w:lvl w:ilvl="0">
      <w:start w:val="1"/>
      <w:numFmt w:val="decimal"/>
      <w:pStyle w:val="odraz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F46057"/>
    <w:multiLevelType w:val="hybridMultilevel"/>
    <w:tmpl w:val="4D0C18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83448"/>
    <w:multiLevelType w:val="hybridMultilevel"/>
    <w:tmpl w:val="FA58A6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7B7465"/>
    <w:multiLevelType w:val="hybridMultilevel"/>
    <w:tmpl w:val="26063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B5B2D"/>
    <w:multiLevelType w:val="hybridMultilevel"/>
    <w:tmpl w:val="FD962282"/>
    <w:lvl w:ilvl="0" w:tplc="36802AC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68"/>
    <w:rsid w:val="00001BD8"/>
    <w:rsid w:val="000065F1"/>
    <w:rsid w:val="00043C46"/>
    <w:rsid w:val="00050DDE"/>
    <w:rsid w:val="000621A0"/>
    <w:rsid w:val="000672EB"/>
    <w:rsid w:val="00074635"/>
    <w:rsid w:val="000748E5"/>
    <w:rsid w:val="000A0193"/>
    <w:rsid w:val="000B197A"/>
    <w:rsid w:val="000B4158"/>
    <w:rsid w:val="000B4F17"/>
    <w:rsid w:val="000B73F2"/>
    <w:rsid w:val="000E255C"/>
    <w:rsid w:val="000F31E3"/>
    <w:rsid w:val="00101006"/>
    <w:rsid w:val="00103345"/>
    <w:rsid w:val="0010711B"/>
    <w:rsid w:val="0011195E"/>
    <w:rsid w:val="00130E81"/>
    <w:rsid w:val="00140304"/>
    <w:rsid w:val="001665D4"/>
    <w:rsid w:val="0016662E"/>
    <w:rsid w:val="001C6C7F"/>
    <w:rsid w:val="001D5711"/>
    <w:rsid w:val="001E6AEC"/>
    <w:rsid w:val="001F1177"/>
    <w:rsid w:val="00204F50"/>
    <w:rsid w:val="002332E9"/>
    <w:rsid w:val="00235169"/>
    <w:rsid w:val="0023739A"/>
    <w:rsid w:val="00243A58"/>
    <w:rsid w:val="00250F27"/>
    <w:rsid w:val="002538FB"/>
    <w:rsid w:val="002606A6"/>
    <w:rsid w:val="00264073"/>
    <w:rsid w:val="00272C66"/>
    <w:rsid w:val="00274930"/>
    <w:rsid w:val="00294565"/>
    <w:rsid w:val="002A3040"/>
    <w:rsid w:val="002B608E"/>
    <w:rsid w:val="002D4D72"/>
    <w:rsid w:val="002E29E7"/>
    <w:rsid w:val="002E46CB"/>
    <w:rsid w:val="002F29F8"/>
    <w:rsid w:val="002F66F3"/>
    <w:rsid w:val="00305978"/>
    <w:rsid w:val="00315604"/>
    <w:rsid w:val="00316491"/>
    <w:rsid w:val="00330579"/>
    <w:rsid w:val="0033796F"/>
    <w:rsid w:val="00340FAD"/>
    <w:rsid w:val="0034536A"/>
    <w:rsid w:val="00357E54"/>
    <w:rsid w:val="00363AFD"/>
    <w:rsid w:val="00365BC6"/>
    <w:rsid w:val="00380C96"/>
    <w:rsid w:val="003874BE"/>
    <w:rsid w:val="003A390B"/>
    <w:rsid w:val="003A4618"/>
    <w:rsid w:val="003A674F"/>
    <w:rsid w:val="003B1184"/>
    <w:rsid w:val="003E4558"/>
    <w:rsid w:val="004449FD"/>
    <w:rsid w:val="00444C43"/>
    <w:rsid w:val="00465E23"/>
    <w:rsid w:val="00467523"/>
    <w:rsid w:val="00476DC9"/>
    <w:rsid w:val="00477FCB"/>
    <w:rsid w:val="004A480B"/>
    <w:rsid w:val="004B225A"/>
    <w:rsid w:val="004B39CC"/>
    <w:rsid w:val="004B66EB"/>
    <w:rsid w:val="004C2222"/>
    <w:rsid w:val="004C693A"/>
    <w:rsid w:val="004D6F4C"/>
    <w:rsid w:val="004E65A9"/>
    <w:rsid w:val="004F033C"/>
    <w:rsid w:val="00506A9C"/>
    <w:rsid w:val="00522034"/>
    <w:rsid w:val="00526D35"/>
    <w:rsid w:val="0053539E"/>
    <w:rsid w:val="00546703"/>
    <w:rsid w:val="005558FA"/>
    <w:rsid w:val="0058680D"/>
    <w:rsid w:val="005965FA"/>
    <w:rsid w:val="005A5C58"/>
    <w:rsid w:val="005B6C97"/>
    <w:rsid w:val="005E20F0"/>
    <w:rsid w:val="005E610E"/>
    <w:rsid w:val="005F48B5"/>
    <w:rsid w:val="00601389"/>
    <w:rsid w:val="00627772"/>
    <w:rsid w:val="006278A5"/>
    <w:rsid w:val="0064747F"/>
    <w:rsid w:val="00651E5C"/>
    <w:rsid w:val="006611CB"/>
    <w:rsid w:val="00673ECD"/>
    <w:rsid w:val="006742B1"/>
    <w:rsid w:val="006759E4"/>
    <w:rsid w:val="00680975"/>
    <w:rsid w:val="00690C9E"/>
    <w:rsid w:val="006979A8"/>
    <w:rsid w:val="006B5D0D"/>
    <w:rsid w:val="006C1BE7"/>
    <w:rsid w:val="006D29E3"/>
    <w:rsid w:val="007021F2"/>
    <w:rsid w:val="00712681"/>
    <w:rsid w:val="00714B77"/>
    <w:rsid w:val="00727994"/>
    <w:rsid w:val="00736B40"/>
    <w:rsid w:val="00744F37"/>
    <w:rsid w:val="0074515E"/>
    <w:rsid w:val="0075022F"/>
    <w:rsid w:val="00752DDF"/>
    <w:rsid w:val="00753835"/>
    <w:rsid w:val="00755568"/>
    <w:rsid w:val="00766F4F"/>
    <w:rsid w:val="00787AE0"/>
    <w:rsid w:val="00793D42"/>
    <w:rsid w:val="007978CA"/>
    <w:rsid w:val="007C0928"/>
    <w:rsid w:val="007C4355"/>
    <w:rsid w:val="007E6511"/>
    <w:rsid w:val="007F10A5"/>
    <w:rsid w:val="00804FC0"/>
    <w:rsid w:val="008104E8"/>
    <w:rsid w:val="00813C69"/>
    <w:rsid w:val="008248D9"/>
    <w:rsid w:val="00843528"/>
    <w:rsid w:val="00844B51"/>
    <w:rsid w:val="00846D1F"/>
    <w:rsid w:val="00856B1D"/>
    <w:rsid w:val="0086030F"/>
    <w:rsid w:val="00873A7C"/>
    <w:rsid w:val="00885B2F"/>
    <w:rsid w:val="008A12E2"/>
    <w:rsid w:val="008C5AF5"/>
    <w:rsid w:val="008C7CC1"/>
    <w:rsid w:val="008D1722"/>
    <w:rsid w:val="008F7A1E"/>
    <w:rsid w:val="008F7CB4"/>
    <w:rsid w:val="00914A36"/>
    <w:rsid w:val="00933D0B"/>
    <w:rsid w:val="00934EB1"/>
    <w:rsid w:val="00942E74"/>
    <w:rsid w:val="009624FC"/>
    <w:rsid w:val="009809ED"/>
    <w:rsid w:val="009B29FA"/>
    <w:rsid w:val="009C119D"/>
    <w:rsid w:val="009D1F05"/>
    <w:rsid w:val="009D6BCC"/>
    <w:rsid w:val="009E06C5"/>
    <w:rsid w:val="009F13C1"/>
    <w:rsid w:val="009F1AE4"/>
    <w:rsid w:val="00A1763E"/>
    <w:rsid w:val="00A27DB4"/>
    <w:rsid w:val="00A302B3"/>
    <w:rsid w:val="00A510E0"/>
    <w:rsid w:val="00A631BC"/>
    <w:rsid w:val="00A70D90"/>
    <w:rsid w:val="00A85342"/>
    <w:rsid w:val="00A86212"/>
    <w:rsid w:val="00A900A4"/>
    <w:rsid w:val="00A951B4"/>
    <w:rsid w:val="00A96729"/>
    <w:rsid w:val="00AA1252"/>
    <w:rsid w:val="00AA19CD"/>
    <w:rsid w:val="00AA7D32"/>
    <w:rsid w:val="00AB2E97"/>
    <w:rsid w:val="00AE408E"/>
    <w:rsid w:val="00AE5D9A"/>
    <w:rsid w:val="00AE695E"/>
    <w:rsid w:val="00AE7D14"/>
    <w:rsid w:val="00AF2111"/>
    <w:rsid w:val="00AF5B0C"/>
    <w:rsid w:val="00AF5C6A"/>
    <w:rsid w:val="00AF7D4F"/>
    <w:rsid w:val="00B0000A"/>
    <w:rsid w:val="00B03BF2"/>
    <w:rsid w:val="00B2582C"/>
    <w:rsid w:val="00B270FB"/>
    <w:rsid w:val="00B31686"/>
    <w:rsid w:val="00B358B9"/>
    <w:rsid w:val="00B437D4"/>
    <w:rsid w:val="00B80246"/>
    <w:rsid w:val="00B87B1D"/>
    <w:rsid w:val="00BA3901"/>
    <w:rsid w:val="00BB0C36"/>
    <w:rsid w:val="00BC05D5"/>
    <w:rsid w:val="00BD23AA"/>
    <w:rsid w:val="00BD6873"/>
    <w:rsid w:val="00BE5C22"/>
    <w:rsid w:val="00C06C50"/>
    <w:rsid w:val="00C16B8F"/>
    <w:rsid w:val="00C1753F"/>
    <w:rsid w:val="00C2146A"/>
    <w:rsid w:val="00C301AD"/>
    <w:rsid w:val="00C43D83"/>
    <w:rsid w:val="00C62E1D"/>
    <w:rsid w:val="00C652C4"/>
    <w:rsid w:val="00C80FA2"/>
    <w:rsid w:val="00C87D3C"/>
    <w:rsid w:val="00C937AD"/>
    <w:rsid w:val="00CB1D52"/>
    <w:rsid w:val="00CB6784"/>
    <w:rsid w:val="00CC2E57"/>
    <w:rsid w:val="00CD1851"/>
    <w:rsid w:val="00CF16E2"/>
    <w:rsid w:val="00CF2108"/>
    <w:rsid w:val="00D00DA9"/>
    <w:rsid w:val="00D07434"/>
    <w:rsid w:val="00D32291"/>
    <w:rsid w:val="00D32C49"/>
    <w:rsid w:val="00D32DF3"/>
    <w:rsid w:val="00D53D0A"/>
    <w:rsid w:val="00D63D05"/>
    <w:rsid w:val="00D7216D"/>
    <w:rsid w:val="00D72726"/>
    <w:rsid w:val="00D74F0E"/>
    <w:rsid w:val="00D754C0"/>
    <w:rsid w:val="00D821A2"/>
    <w:rsid w:val="00D86353"/>
    <w:rsid w:val="00D95152"/>
    <w:rsid w:val="00DA079B"/>
    <w:rsid w:val="00DA78A4"/>
    <w:rsid w:val="00DA7DA3"/>
    <w:rsid w:val="00DB499A"/>
    <w:rsid w:val="00DC45D5"/>
    <w:rsid w:val="00DD2C45"/>
    <w:rsid w:val="00E20D2D"/>
    <w:rsid w:val="00E23E08"/>
    <w:rsid w:val="00E27E00"/>
    <w:rsid w:val="00E43987"/>
    <w:rsid w:val="00E75C61"/>
    <w:rsid w:val="00E90BCE"/>
    <w:rsid w:val="00E9549B"/>
    <w:rsid w:val="00EB6A03"/>
    <w:rsid w:val="00EB6CC9"/>
    <w:rsid w:val="00EB73A4"/>
    <w:rsid w:val="00EC7028"/>
    <w:rsid w:val="00EC7AE8"/>
    <w:rsid w:val="00EF4C14"/>
    <w:rsid w:val="00EF722E"/>
    <w:rsid w:val="00F0495A"/>
    <w:rsid w:val="00F119E1"/>
    <w:rsid w:val="00F24A87"/>
    <w:rsid w:val="00F6155E"/>
    <w:rsid w:val="00F70ADE"/>
    <w:rsid w:val="00F8349C"/>
    <w:rsid w:val="00F93DF5"/>
    <w:rsid w:val="00FA1F80"/>
    <w:rsid w:val="00FA7367"/>
    <w:rsid w:val="00FD4708"/>
    <w:rsid w:val="00FE3C21"/>
    <w:rsid w:val="00FF0285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8A4963-2929-495F-97C5-04033265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543"/>
    <w:pPr>
      <w:spacing w:line="260" w:lineRule="atLeast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C26543"/>
    <w:pPr>
      <w:keepNext/>
      <w:spacing w:after="60" w:line="400" w:lineRule="atLeast"/>
      <w:jc w:val="left"/>
      <w:outlineLvl w:val="0"/>
    </w:pPr>
    <w:rPr>
      <w:b/>
      <w:bCs/>
      <w:color w:val="00A0C6"/>
      <w:kern w:val="32"/>
      <w:sz w:val="36"/>
      <w:szCs w:val="84"/>
    </w:rPr>
  </w:style>
  <w:style w:type="paragraph" w:styleId="Nadpis2">
    <w:name w:val="heading 2"/>
    <w:basedOn w:val="Normln"/>
    <w:next w:val="Normln"/>
    <w:qFormat/>
    <w:rsid w:val="00C26543"/>
    <w:pPr>
      <w:spacing w:line="240" w:lineRule="auto"/>
      <w:jc w:val="left"/>
      <w:outlineLvl w:val="1"/>
    </w:pPr>
    <w:rPr>
      <w:b/>
      <w:iCs/>
      <w:spacing w:val="42"/>
      <w:sz w:val="32"/>
      <w:szCs w:val="20"/>
    </w:rPr>
  </w:style>
  <w:style w:type="paragraph" w:styleId="Nadpis3">
    <w:name w:val="heading 3"/>
    <w:basedOn w:val="Normln"/>
    <w:next w:val="Normln"/>
    <w:qFormat/>
    <w:rsid w:val="00C26543"/>
    <w:pPr>
      <w:keepNext/>
      <w:spacing w:before="36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E2601"/>
    <w:pPr>
      <w:keepNext/>
      <w:spacing w:before="240" w:after="60"/>
      <w:outlineLvl w:val="3"/>
    </w:pPr>
    <w:rPr>
      <w:b/>
      <w:bCs/>
      <w:color w:val="00A0C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238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D7118"/>
    <w:pPr>
      <w:tabs>
        <w:tab w:val="right" w:pos="9639"/>
      </w:tabs>
      <w:spacing w:line="200" w:lineRule="atLeast"/>
    </w:pPr>
    <w:rPr>
      <w:sz w:val="16"/>
    </w:rPr>
  </w:style>
  <w:style w:type="paragraph" w:customStyle="1" w:styleId="tabzahlavi">
    <w:name w:val="tab_zahlavi"/>
    <w:basedOn w:val="MPadresa"/>
    <w:rsid w:val="007E2601"/>
    <w:rPr>
      <w:color w:val="00A0C6"/>
      <w:sz w:val="16"/>
      <w:szCs w:val="20"/>
    </w:rPr>
  </w:style>
  <w:style w:type="character" w:styleId="slostrnky">
    <w:name w:val="page number"/>
    <w:basedOn w:val="Standardnpsmoodstavce"/>
    <w:semiHidden/>
    <w:rsid w:val="008F683E"/>
  </w:style>
  <w:style w:type="paragraph" w:customStyle="1" w:styleId="tabzahlavitred">
    <w:name w:val="tab_zahlavi tred"/>
    <w:basedOn w:val="tabzahlavi"/>
    <w:rsid w:val="002054D6"/>
    <w:pPr>
      <w:jc w:val="center"/>
    </w:pPr>
  </w:style>
  <w:style w:type="character" w:customStyle="1" w:styleId="modra">
    <w:name w:val="modra"/>
    <w:basedOn w:val="Standardnpsmoodstavce"/>
    <w:rsid w:val="0022381C"/>
    <w:rPr>
      <w:b/>
      <w:bCs/>
      <w:color w:val="00A0C6"/>
    </w:rPr>
  </w:style>
  <w:style w:type="table" w:styleId="Mkatabulky">
    <w:name w:val="Table Grid"/>
    <w:basedOn w:val="Normlntabulka"/>
    <w:rsid w:val="002B0F4B"/>
    <w:pPr>
      <w:spacing w:line="260" w:lineRule="atLeast"/>
    </w:pPr>
    <w:rPr>
      <w:rFonts w:ascii="Arial" w:hAnsi="Arial"/>
    </w:rPr>
    <w:tblPr>
      <w:tblInd w:w="57" w:type="dxa"/>
      <w:tblBorders>
        <w:bottom w:val="single" w:sz="4" w:space="0" w:color="00A0C6"/>
        <w:insideH w:val="single" w:sz="4" w:space="0" w:color="00A0C6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auto"/>
      <w:vAlign w:val="center"/>
    </w:tcPr>
  </w:style>
  <w:style w:type="paragraph" w:customStyle="1" w:styleId="odrazky">
    <w:name w:val="odrazky"/>
    <w:basedOn w:val="Normln"/>
    <w:rsid w:val="0022381C"/>
    <w:pPr>
      <w:numPr>
        <w:numId w:val="1"/>
      </w:numPr>
    </w:pPr>
  </w:style>
  <w:style w:type="paragraph" w:customStyle="1" w:styleId="TabLB">
    <w:name w:val="TabLB"/>
    <w:basedOn w:val="Normln"/>
    <w:rsid w:val="0022381C"/>
    <w:rPr>
      <w:b/>
    </w:rPr>
  </w:style>
  <w:style w:type="paragraph" w:customStyle="1" w:styleId="TabMB">
    <w:name w:val="TabMB"/>
    <w:basedOn w:val="Normln"/>
    <w:rsid w:val="0022381C"/>
    <w:pPr>
      <w:jc w:val="center"/>
    </w:pPr>
    <w:rPr>
      <w:b/>
    </w:rPr>
  </w:style>
  <w:style w:type="paragraph" w:customStyle="1" w:styleId="TabRB">
    <w:name w:val="TabRB"/>
    <w:basedOn w:val="Normln"/>
    <w:rsid w:val="0022381C"/>
    <w:pPr>
      <w:jc w:val="right"/>
    </w:pPr>
    <w:rPr>
      <w:b/>
    </w:rPr>
  </w:style>
  <w:style w:type="paragraph" w:customStyle="1" w:styleId="TabTL">
    <w:name w:val="TabTL"/>
    <w:basedOn w:val="Normln"/>
    <w:rsid w:val="00790504"/>
  </w:style>
  <w:style w:type="paragraph" w:customStyle="1" w:styleId="TabTM">
    <w:name w:val="TabTM"/>
    <w:basedOn w:val="Normln"/>
    <w:rsid w:val="0022381C"/>
    <w:pPr>
      <w:jc w:val="center"/>
    </w:pPr>
  </w:style>
  <w:style w:type="paragraph" w:customStyle="1" w:styleId="TabTR">
    <w:name w:val="TabTR"/>
    <w:basedOn w:val="Normln"/>
    <w:rsid w:val="0022381C"/>
    <w:pPr>
      <w:jc w:val="right"/>
    </w:pPr>
  </w:style>
  <w:style w:type="paragraph" w:customStyle="1" w:styleId="MPadresa">
    <w:name w:val="MP_adresa"/>
    <w:basedOn w:val="Normln"/>
    <w:rsid w:val="00AE6461"/>
    <w:pPr>
      <w:spacing w:line="220" w:lineRule="atLeast"/>
    </w:pPr>
    <w:rPr>
      <w:sz w:val="18"/>
    </w:rPr>
  </w:style>
  <w:style w:type="paragraph" w:customStyle="1" w:styleId="Normalnistred">
    <w:name w:val="Normalni stred"/>
    <w:basedOn w:val="Normln"/>
    <w:rsid w:val="002054D6"/>
    <w:pPr>
      <w:jc w:val="center"/>
    </w:pPr>
    <w:rPr>
      <w:szCs w:val="20"/>
    </w:rPr>
  </w:style>
  <w:style w:type="paragraph" w:customStyle="1" w:styleId="n2">
    <w:name w:val="n2"/>
    <w:basedOn w:val="Normln"/>
    <w:rsid w:val="004F5BF3"/>
    <w:pPr>
      <w:spacing w:line="240" w:lineRule="auto"/>
    </w:pPr>
    <w:rPr>
      <w:sz w:val="4"/>
      <w:szCs w:val="20"/>
    </w:rPr>
  </w:style>
  <w:style w:type="paragraph" w:customStyle="1" w:styleId="Date1">
    <w:name w:val="Date1"/>
    <w:basedOn w:val="Normln"/>
    <w:rsid w:val="00C26543"/>
    <w:pPr>
      <w:spacing w:after="520"/>
      <w:jc w:val="right"/>
    </w:pPr>
  </w:style>
  <w:style w:type="paragraph" w:customStyle="1" w:styleId="Tucne">
    <w:name w:val="Tucne"/>
    <w:basedOn w:val="Normln"/>
    <w:rsid w:val="00FF05E6"/>
    <w:rPr>
      <w:b/>
    </w:rPr>
  </w:style>
  <w:style w:type="paragraph" w:styleId="Textbubliny">
    <w:name w:val="Balloon Text"/>
    <w:basedOn w:val="Normln"/>
    <w:semiHidden/>
    <w:rsid w:val="009842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2148BE"/>
    <w:rPr>
      <w:sz w:val="16"/>
      <w:szCs w:val="16"/>
    </w:rPr>
  </w:style>
  <w:style w:type="paragraph" w:styleId="Textkomente">
    <w:name w:val="annotation text"/>
    <w:basedOn w:val="Normln"/>
    <w:semiHidden/>
    <w:rsid w:val="002148B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148BE"/>
    <w:rPr>
      <w:b/>
      <w:bCs/>
    </w:rPr>
  </w:style>
  <w:style w:type="paragraph" w:styleId="Zkladntext">
    <w:name w:val="Body Text"/>
    <w:basedOn w:val="Normln"/>
    <w:semiHidden/>
    <w:rsid w:val="00021EC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021ECC"/>
    <w:rPr>
      <w:i/>
      <w:iCs/>
    </w:rPr>
  </w:style>
  <w:style w:type="character" w:styleId="Siln">
    <w:name w:val="Strong"/>
    <w:basedOn w:val="Standardnpsmoodstavce"/>
    <w:uiPriority w:val="22"/>
    <w:qFormat/>
    <w:rsid w:val="00ED42FB"/>
    <w:rPr>
      <w:b/>
      <w:bCs/>
    </w:rPr>
  </w:style>
  <w:style w:type="paragraph" w:styleId="Rozloendokumentu">
    <w:name w:val="Document Map"/>
    <w:basedOn w:val="Normln"/>
    <w:semiHidden/>
    <w:rsid w:val="00F867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semiHidden/>
    <w:rsid w:val="00112D9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104E8"/>
    <w:pPr>
      <w:ind w:left="720"/>
      <w:contextualSpacing/>
    </w:pPr>
  </w:style>
  <w:style w:type="character" w:customStyle="1" w:styleId="apple-converted-space">
    <w:name w:val="apple-converted-space"/>
    <w:rsid w:val="00844B51"/>
  </w:style>
  <w:style w:type="character" w:styleId="Hypertextovodkaz">
    <w:name w:val="Hyperlink"/>
    <w:uiPriority w:val="99"/>
    <w:unhideWhenUsed/>
    <w:rsid w:val="00844B51"/>
    <w:rPr>
      <w:color w:val="0000FF"/>
      <w:u w:val="single"/>
    </w:rPr>
  </w:style>
  <w:style w:type="paragraph" w:customStyle="1" w:styleId="p1">
    <w:name w:val="p1"/>
    <w:basedOn w:val="Normln"/>
    <w:rsid w:val="00844B51"/>
    <w:pPr>
      <w:spacing w:line="240" w:lineRule="auto"/>
      <w:jc w:val="left"/>
    </w:pPr>
    <w:rPr>
      <w:rFonts w:ascii=".SF UI Text" w:eastAsiaTheme="minorHAnsi" w:hAnsi=".SF UI Text"/>
      <w:color w:val="454545"/>
      <w:sz w:val="26"/>
      <w:szCs w:val="26"/>
    </w:rPr>
  </w:style>
  <w:style w:type="paragraph" w:customStyle="1" w:styleId="p2">
    <w:name w:val="p2"/>
    <w:basedOn w:val="Normln"/>
    <w:rsid w:val="00844B51"/>
    <w:pPr>
      <w:spacing w:line="240" w:lineRule="auto"/>
      <w:jc w:val="left"/>
    </w:pPr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Standardnpsmoodstavce"/>
    <w:rsid w:val="00844B51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hili">
    <w:name w:val="hili"/>
    <w:basedOn w:val="Standardnpsmoodstavce"/>
    <w:rsid w:val="00B87B1D"/>
  </w:style>
  <w:style w:type="paragraph" w:styleId="Prosttext">
    <w:name w:val="Plain Text"/>
    <w:basedOn w:val="Normln"/>
    <w:link w:val="ProsttextChar"/>
    <w:uiPriority w:val="99"/>
    <w:semiHidden/>
    <w:unhideWhenUsed/>
    <w:rsid w:val="00B87B1D"/>
    <w:pPr>
      <w:spacing w:line="240" w:lineRule="auto"/>
      <w:jc w:val="left"/>
    </w:pPr>
    <w:rPr>
      <w:rFonts w:ascii="Calibri" w:eastAsiaTheme="minorHAnsi" w:hAnsi="Calibri" w:cs="Calibri"/>
      <w:szCs w:val="22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87B1D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0B4158"/>
    <w:rPr>
      <w:rFonts w:ascii="Arial" w:hAnsi="Arial"/>
      <w:sz w:val="22"/>
      <w:szCs w:val="24"/>
    </w:rPr>
  </w:style>
  <w:style w:type="paragraph" w:customStyle="1" w:styleId="Default">
    <w:name w:val="Default"/>
    <w:rsid w:val="00942E74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val="en-US"/>
    </w:rPr>
  </w:style>
  <w:style w:type="character" w:customStyle="1" w:styleId="A2">
    <w:name w:val="A2"/>
    <w:uiPriority w:val="99"/>
    <w:rsid w:val="00942E74"/>
    <w:rPr>
      <w:rFonts w:cs="Helvetica 45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benes@benesgroup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-energy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Beneš</dc:creator>
  <cp:lastModifiedBy>Účet Microsoft</cp:lastModifiedBy>
  <cp:revision>2</cp:revision>
  <cp:lastPrinted>1899-12-31T23:00:00Z</cp:lastPrinted>
  <dcterms:created xsi:type="dcterms:W3CDTF">2020-04-29T19:14:00Z</dcterms:created>
  <dcterms:modified xsi:type="dcterms:W3CDTF">2020-04-29T19:14:00Z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iteId">
    <vt:lpwstr>7f0b44d2-04f8-4672-bf5d-4676796468a3</vt:lpwstr>
  </property>
  <property fmtid="{D5CDD505-2E9C-101B-9397-08002B2CF9AE}" pid="4" name="MSIP_Label_42e67a54-274b-43d7-8098-b3ba5f50e576_Owner">
    <vt:lpwstr>Jakub.Cech@allenovery.com</vt:lpwstr>
  </property>
  <property fmtid="{D5CDD505-2E9C-101B-9397-08002B2CF9AE}" pid="5" name="MSIP_Label_42e67a54-274b-43d7-8098-b3ba5f50e576_SetDate">
    <vt:lpwstr>2020-04-29T18:25:49.2598325Z</vt:lpwstr>
  </property>
  <property fmtid="{D5CDD505-2E9C-101B-9397-08002B2CF9AE}" pid="6" name="MSIP_Label_42e67a54-274b-43d7-8098-b3ba5f50e576_Name">
    <vt:lpwstr>Restricted</vt:lpwstr>
  </property>
  <property fmtid="{D5CDD505-2E9C-101B-9397-08002B2CF9AE}" pid="7" name="MSIP_Label_42e67a54-274b-43d7-8098-b3ba5f50e576_Application">
    <vt:lpwstr>Microsoft Azure Information Protection</vt:lpwstr>
  </property>
  <property fmtid="{D5CDD505-2E9C-101B-9397-08002B2CF9AE}" pid="8" name="MSIP_Label_42e67a54-274b-43d7-8098-b3ba5f50e576_ActionId">
    <vt:lpwstr>8fae7d02-0c24-48d1-94c6-5d046e4b69a1</vt:lpwstr>
  </property>
  <property fmtid="{D5CDD505-2E9C-101B-9397-08002B2CF9AE}" pid="9" name="MSIP_Label_42e67a54-274b-43d7-8098-b3ba5f50e576_Extended_MSFT_Method">
    <vt:lpwstr>Automatic</vt:lpwstr>
  </property>
  <property fmtid="{D5CDD505-2E9C-101B-9397-08002B2CF9AE}" pid="10" name="Client">
    <vt:lpwstr>0116655</vt:lpwstr>
  </property>
  <property fmtid="{D5CDD505-2E9C-101B-9397-08002B2CF9AE}" pid="11" name="Matter">
    <vt:lpwstr>0000022</vt:lpwstr>
  </property>
  <property fmtid="{D5CDD505-2E9C-101B-9397-08002B2CF9AE}" pid="12" name="cpDocRef">
    <vt:lpwstr>EUO3: 2000343673.1</vt:lpwstr>
  </property>
  <property fmtid="{D5CDD505-2E9C-101B-9397-08002B2CF9AE}" pid="13" name="cpClientMatter">
    <vt:lpwstr>0116655-0000022</vt:lpwstr>
  </property>
  <property fmtid="{D5CDD505-2E9C-101B-9397-08002B2CF9AE}" pid="14" name="cpCombinedRef">
    <vt:lpwstr>0116655-0000022 EUO3: 2000343673.1</vt:lpwstr>
  </property>
</Properties>
</file>